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22" w:rsidRDefault="007E4722" w:rsidP="007E4722">
      <w:pPr>
        <w:spacing w:line="0" w:lineRule="atLeast"/>
        <w:jc w:val="center"/>
        <w:rPr>
          <w:rFonts w:eastAsia="標楷體" w:hAnsi="標楷體" w:hint="eastAsia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慈濟學校財團法人</w:t>
      </w:r>
      <w:r w:rsidR="00975A5E" w:rsidRPr="00611FD0">
        <w:rPr>
          <w:rFonts w:eastAsia="標楷體" w:hAnsi="標楷體"/>
          <w:b/>
          <w:sz w:val="32"/>
          <w:szCs w:val="32"/>
        </w:rPr>
        <w:t>慈濟</w:t>
      </w:r>
      <w:r w:rsidR="00380941">
        <w:rPr>
          <w:rFonts w:eastAsia="標楷體" w:hAnsi="標楷體" w:hint="eastAsia"/>
          <w:b/>
          <w:sz w:val="32"/>
          <w:szCs w:val="32"/>
        </w:rPr>
        <w:t>科技大學</w:t>
      </w:r>
    </w:p>
    <w:p w:rsidR="00070C98" w:rsidRPr="00611FD0" w:rsidRDefault="00975A5E" w:rsidP="007E4722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11FD0">
        <w:rPr>
          <w:rFonts w:eastAsia="標楷體" w:hAnsi="標楷體"/>
          <w:b/>
          <w:sz w:val="32"/>
          <w:szCs w:val="32"/>
        </w:rPr>
        <w:t>先驅化學品工業原料運作記錄表</w:t>
      </w:r>
    </w:p>
    <w:p w:rsidR="00975A5E" w:rsidRPr="00975A5E" w:rsidRDefault="00752839">
      <w:pPr>
        <w:rPr>
          <w:rFonts w:eastAsia="標楷體"/>
          <w:sz w:val="28"/>
          <w:szCs w:val="28"/>
        </w:rPr>
      </w:pPr>
      <w:r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="007910C8"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>甲類</w:t>
      </w:r>
      <w:r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CB3EAA">
        <w:rPr>
          <w:rFonts w:eastAsia="標楷體" w:hAnsi="標楷體"/>
          <w:sz w:val="28"/>
          <w:szCs w:val="28"/>
        </w:rPr>
        <w:t xml:space="preserve">先驅化學品工業原料名稱：　　　　　　　　　　　</w:t>
      </w:r>
      <w:r w:rsidR="00975A5E" w:rsidRPr="00975A5E">
        <w:rPr>
          <w:rFonts w:eastAsia="標楷體" w:hAnsi="標楷體"/>
          <w:sz w:val="28"/>
          <w:szCs w:val="28"/>
        </w:rPr>
        <w:t>單位名稱：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00"/>
        <w:gridCol w:w="1200"/>
        <w:gridCol w:w="1200"/>
        <w:gridCol w:w="1375"/>
        <w:gridCol w:w="1375"/>
        <w:gridCol w:w="1436"/>
        <w:gridCol w:w="1274"/>
      </w:tblGrid>
      <w:tr w:rsidR="00975A5E" w:rsidRPr="008B6078" w:rsidTr="008B6078">
        <w:trPr>
          <w:trHeight w:val="624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8B6078">
              <w:rPr>
                <w:rFonts w:eastAsia="標楷體" w:hint="eastAsia"/>
                <w:sz w:val="28"/>
                <w:szCs w:val="28"/>
              </w:rPr>
              <w:t>購入量</w:t>
            </w:r>
            <w:proofErr w:type="gramEnd"/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使用量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貯存量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使用人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管理人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用途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A5E" w:rsidRPr="008B6078" w:rsidRDefault="00975A5E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75A5E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75A5E" w:rsidRPr="008B6078" w:rsidRDefault="00975A5E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51BB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51BB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51BB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951BB2" w:rsidRPr="008B6078" w:rsidRDefault="00951BB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975A5E" w:rsidRDefault="00975A5E">
      <w:pPr>
        <w:rPr>
          <w:rFonts w:eastAsia="標楷體" w:hint="eastAsia"/>
        </w:rPr>
      </w:pPr>
    </w:p>
    <w:p w:rsidR="00975A5E" w:rsidRPr="00DC4734" w:rsidRDefault="00975A5E">
      <w:pPr>
        <w:rPr>
          <w:rFonts w:eastAsia="標楷體" w:hint="eastAsia"/>
          <w:sz w:val="20"/>
          <w:szCs w:val="20"/>
        </w:rPr>
      </w:pPr>
      <w:proofErr w:type="gramStart"/>
      <w:r w:rsidRPr="00DC4734">
        <w:rPr>
          <w:rFonts w:eastAsia="標楷體" w:hint="eastAsia"/>
          <w:sz w:val="20"/>
          <w:szCs w:val="20"/>
        </w:rPr>
        <w:t>註</w:t>
      </w:r>
      <w:proofErr w:type="gramEnd"/>
      <w:r w:rsidRPr="00DC4734">
        <w:rPr>
          <w:rFonts w:eastAsia="標楷體" w:hint="eastAsia"/>
          <w:sz w:val="20"/>
          <w:szCs w:val="20"/>
        </w:rPr>
        <w:t>：</w:t>
      </w:r>
    </w:p>
    <w:p w:rsidR="00975A5E" w:rsidRPr="00DC4734" w:rsidRDefault="00975A5E" w:rsidP="000E71BD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1.</w:t>
      </w:r>
      <w:r w:rsidR="00DA55EA" w:rsidRPr="00DC4734">
        <w:rPr>
          <w:rFonts w:eastAsia="標楷體" w:hint="eastAsia"/>
          <w:sz w:val="20"/>
          <w:szCs w:val="20"/>
        </w:rPr>
        <w:t>本記錄表</w:t>
      </w:r>
      <w:proofErr w:type="gramStart"/>
      <w:r w:rsidR="00DA55EA" w:rsidRPr="00DC4734">
        <w:rPr>
          <w:rFonts w:eastAsia="標楷體" w:hint="eastAsia"/>
          <w:sz w:val="20"/>
          <w:szCs w:val="20"/>
        </w:rPr>
        <w:t>採一</w:t>
      </w:r>
      <w:proofErr w:type="gramEnd"/>
      <w:r w:rsidR="00DA55EA" w:rsidRPr="00DC4734">
        <w:rPr>
          <w:rFonts w:eastAsia="標楷體" w:hint="eastAsia"/>
          <w:sz w:val="20"/>
          <w:szCs w:val="20"/>
        </w:rPr>
        <w:t>物</w:t>
      </w:r>
      <w:proofErr w:type="gramStart"/>
      <w:r w:rsidR="00DA55EA" w:rsidRPr="00DC4734">
        <w:rPr>
          <w:rFonts w:eastAsia="標楷體" w:hint="eastAsia"/>
          <w:sz w:val="20"/>
          <w:szCs w:val="20"/>
        </w:rPr>
        <w:t>一</w:t>
      </w:r>
      <w:proofErr w:type="gramEnd"/>
      <w:r w:rsidR="00DA55EA" w:rsidRPr="00DC4734">
        <w:rPr>
          <w:rFonts w:eastAsia="標楷體" w:hint="eastAsia"/>
          <w:sz w:val="20"/>
          <w:szCs w:val="20"/>
        </w:rPr>
        <w:t>單，每項列管先驅化學品工業原料請分單記錄。</w:t>
      </w:r>
    </w:p>
    <w:p w:rsidR="00DA55EA" w:rsidRPr="00DC4734" w:rsidRDefault="00DA55EA" w:rsidP="000E71BD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2.</w:t>
      </w:r>
      <w:r w:rsidRPr="00DC4734">
        <w:rPr>
          <w:rFonts w:eastAsia="標楷體" w:hint="eastAsia"/>
          <w:sz w:val="20"/>
          <w:szCs w:val="20"/>
        </w:rPr>
        <w:t>每次使用皆須填寫使用量、貯存量及用途，並請使用人簽名。</w:t>
      </w:r>
    </w:p>
    <w:p w:rsidR="00DA55EA" w:rsidRPr="00DC4734" w:rsidRDefault="00DA55EA" w:rsidP="000E71BD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3.</w:t>
      </w:r>
      <w:r w:rsidRPr="00DC4734">
        <w:rPr>
          <w:rFonts w:eastAsia="標楷體" w:hint="eastAsia"/>
          <w:sz w:val="20"/>
          <w:szCs w:val="20"/>
        </w:rPr>
        <w:t>當有購入時，請在備註欄填寫購入廠商名稱及統編，並影印相關憑證資料留存。</w:t>
      </w:r>
    </w:p>
    <w:p w:rsidR="00DA55EA" w:rsidRPr="00DC4734" w:rsidRDefault="00DA55EA" w:rsidP="000E71BD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4.</w:t>
      </w:r>
      <w:r w:rsidRPr="00DC4734">
        <w:rPr>
          <w:rFonts w:eastAsia="標楷體" w:hint="eastAsia"/>
          <w:sz w:val="20"/>
          <w:szCs w:val="20"/>
        </w:rPr>
        <w:t>管理人須定期（</w:t>
      </w:r>
      <w:r w:rsidRPr="00DC4734">
        <w:rPr>
          <w:rFonts w:eastAsia="標楷體" w:hint="eastAsia"/>
          <w:sz w:val="20"/>
          <w:szCs w:val="20"/>
        </w:rPr>
        <w:t>1~3</w:t>
      </w:r>
      <w:r w:rsidRPr="00DC4734">
        <w:rPr>
          <w:rFonts w:eastAsia="標楷體" w:hint="eastAsia"/>
          <w:sz w:val="20"/>
          <w:szCs w:val="20"/>
        </w:rPr>
        <w:t>個月）確實查核貯存量是否有誤。</w:t>
      </w:r>
    </w:p>
    <w:p w:rsidR="00DA55EA" w:rsidRDefault="00DA55EA" w:rsidP="000E71BD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5.</w:t>
      </w:r>
      <w:r w:rsidRPr="00DC4734">
        <w:rPr>
          <w:rFonts w:eastAsia="標楷體" w:hint="eastAsia"/>
          <w:sz w:val="20"/>
          <w:szCs w:val="20"/>
        </w:rPr>
        <w:t>甲類先驅化學品，</w:t>
      </w:r>
      <w:r w:rsidRPr="00DC4734">
        <w:rPr>
          <w:rFonts w:eastAsia="標楷體" w:hint="eastAsia"/>
          <w:b/>
          <w:sz w:val="20"/>
          <w:szCs w:val="20"/>
        </w:rPr>
        <w:t>請以</w:t>
      </w:r>
      <w:r w:rsidR="00700F6F" w:rsidRPr="00DC4734">
        <w:rPr>
          <w:rFonts w:eastAsia="標楷體"/>
          <w:b/>
          <w:sz w:val="20"/>
          <w:szCs w:val="20"/>
        </w:rPr>
        <w:t>”</w:t>
      </w:r>
      <w:r w:rsidR="00700F6F" w:rsidRPr="00DC4734">
        <w:rPr>
          <w:rFonts w:eastAsia="標楷體" w:hint="eastAsia"/>
          <w:b/>
          <w:sz w:val="20"/>
          <w:szCs w:val="20"/>
        </w:rPr>
        <w:t>公斤</w:t>
      </w:r>
      <w:r w:rsidR="00700F6F" w:rsidRPr="00DC4734">
        <w:rPr>
          <w:rFonts w:eastAsia="標楷體"/>
          <w:b/>
          <w:sz w:val="20"/>
          <w:szCs w:val="20"/>
        </w:rPr>
        <w:t>”</w:t>
      </w:r>
      <w:r w:rsidR="00700F6F" w:rsidRPr="00DC4734">
        <w:rPr>
          <w:rFonts w:eastAsia="標楷體" w:hint="eastAsia"/>
          <w:b/>
          <w:sz w:val="20"/>
          <w:szCs w:val="20"/>
        </w:rPr>
        <w:t>為單位</w:t>
      </w:r>
      <w:r w:rsidR="00700F6F" w:rsidRPr="00DC4734">
        <w:rPr>
          <w:rFonts w:eastAsia="標楷體" w:hint="eastAsia"/>
          <w:sz w:val="20"/>
          <w:szCs w:val="20"/>
        </w:rPr>
        <w:t>，單位非公斤者請作密度換算（醋酸酐密度為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l"/>
        </w:smartTagPr>
        <w:r w:rsidR="00700F6F" w:rsidRPr="00DC4734">
          <w:rPr>
            <w:rFonts w:eastAsia="標楷體" w:hint="eastAsia"/>
            <w:sz w:val="20"/>
            <w:szCs w:val="20"/>
          </w:rPr>
          <w:t>1L</w:t>
        </w:r>
      </w:smartTag>
      <w:r w:rsidR="00700F6F" w:rsidRPr="00DC4734">
        <w:rPr>
          <w:rFonts w:eastAsia="標楷體" w:hint="eastAsia"/>
          <w:sz w:val="20"/>
          <w:szCs w:val="20"/>
        </w:rPr>
        <w:t>=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08"/>
          <w:attr w:name="UnitName" w:val="kg"/>
        </w:smartTagPr>
        <w:r w:rsidR="00700F6F" w:rsidRPr="00DC4734">
          <w:rPr>
            <w:rFonts w:eastAsia="標楷體" w:hint="eastAsia"/>
            <w:sz w:val="20"/>
            <w:szCs w:val="20"/>
          </w:rPr>
          <w:t>1.08Kg</w:t>
        </w:r>
      </w:smartTag>
      <w:r w:rsidR="00700F6F" w:rsidRPr="00DC4734">
        <w:rPr>
          <w:rFonts w:eastAsia="標楷體" w:hint="eastAsia"/>
          <w:sz w:val="20"/>
          <w:szCs w:val="20"/>
        </w:rPr>
        <w:t>）</w:t>
      </w:r>
      <w:r w:rsidR="00DC4734" w:rsidRPr="00DC4734">
        <w:rPr>
          <w:rFonts w:eastAsia="標楷體" w:hint="eastAsia"/>
          <w:sz w:val="20"/>
          <w:szCs w:val="20"/>
        </w:rPr>
        <w:t>，</w:t>
      </w:r>
      <w:r w:rsidR="00700F6F" w:rsidRPr="00DC4734">
        <w:rPr>
          <w:rFonts w:eastAsia="標楷體" w:hint="eastAsia"/>
          <w:sz w:val="20"/>
          <w:szCs w:val="20"/>
        </w:rPr>
        <w:t>以便申報。</w:t>
      </w:r>
    </w:p>
    <w:p w:rsidR="00752839" w:rsidRPr="00DC4734" w:rsidRDefault="00752839" w:rsidP="000E71BD">
      <w:pPr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6.</w:t>
      </w:r>
      <w:r>
        <w:rPr>
          <w:rFonts w:eastAsia="標楷體" w:hint="eastAsia"/>
          <w:sz w:val="20"/>
          <w:szCs w:val="20"/>
        </w:rPr>
        <w:t>請於</w:t>
      </w:r>
      <w:r w:rsidRPr="00752839">
        <w:rPr>
          <w:rFonts w:eastAsia="標楷體" w:hint="eastAsia"/>
          <w:b/>
          <w:sz w:val="20"/>
          <w:szCs w:val="20"/>
        </w:rPr>
        <w:t>每年</w:t>
      </w:r>
      <w:r w:rsidRPr="00752839">
        <w:rPr>
          <w:rFonts w:ascii="標楷體" w:eastAsia="標楷體" w:hAnsi="標楷體" w:hint="eastAsia"/>
          <w:b/>
          <w:sz w:val="20"/>
          <w:szCs w:val="20"/>
        </w:rPr>
        <w:t>1、4、</w:t>
      </w:r>
      <w:r w:rsidRPr="00752839">
        <w:rPr>
          <w:rFonts w:eastAsia="標楷體" w:hint="eastAsia"/>
          <w:b/>
          <w:sz w:val="20"/>
          <w:szCs w:val="20"/>
        </w:rPr>
        <w:t>7</w:t>
      </w:r>
      <w:r w:rsidRPr="00752839">
        <w:rPr>
          <w:rFonts w:eastAsia="標楷體" w:hint="eastAsia"/>
          <w:b/>
          <w:sz w:val="20"/>
          <w:szCs w:val="20"/>
        </w:rPr>
        <w:t>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08"/>
        </w:smartTagPr>
        <w:r w:rsidRPr="00752839">
          <w:rPr>
            <w:rFonts w:eastAsia="標楷體" w:hint="eastAsia"/>
            <w:b/>
            <w:sz w:val="20"/>
            <w:szCs w:val="20"/>
          </w:rPr>
          <w:t>10</w:t>
        </w:r>
        <w:r w:rsidRPr="00752839">
          <w:rPr>
            <w:rFonts w:eastAsia="標楷體" w:hint="eastAsia"/>
            <w:b/>
            <w:sz w:val="20"/>
            <w:szCs w:val="20"/>
          </w:rPr>
          <w:t>月</w:t>
        </w:r>
        <w:r w:rsidRPr="00752839">
          <w:rPr>
            <w:rFonts w:eastAsia="標楷體" w:hint="eastAsia"/>
            <w:b/>
            <w:sz w:val="20"/>
            <w:szCs w:val="20"/>
          </w:rPr>
          <w:t>10</w:t>
        </w:r>
        <w:r w:rsidRPr="00752839">
          <w:rPr>
            <w:rFonts w:eastAsia="標楷體" w:hint="eastAsia"/>
            <w:b/>
            <w:sz w:val="20"/>
            <w:szCs w:val="20"/>
          </w:rPr>
          <w:t>日</w:t>
        </w:r>
      </w:smartTag>
      <w:r w:rsidRPr="00752839">
        <w:rPr>
          <w:rFonts w:eastAsia="標楷體" w:hint="eastAsia"/>
          <w:b/>
          <w:sz w:val="20"/>
          <w:szCs w:val="20"/>
        </w:rPr>
        <w:t>前將</w:t>
      </w:r>
      <w:r>
        <w:rPr>
          <w:rFonts w:eastAsia="標楷體" w:hint="eastAsia"/>
          <w:b/>
          <w:sz w:val="20"/>
          <w:szCs w:val="20"/>
        </w:rPr>
        <w:t>前</w:t>
      </w:r>
      <w:r>
        <w:rPr>
          <w:rFonts w:eastAsia="標楷體" w:hint="eastAsia"/>
          <w:b/>
          <w:sz w:val="20"/>
          <w:szCs w:val="20"/>
        </w:rPr>
        <w:t>1</w:t>
      </w:r>
      <w:r>
        <w:rPr>
          <w:rFonts w:eastAsia="標楷體" w:hint="eastAsia"/>
          <w:b/>
          <w:sz w:val="20"/>
          <w:szCs w:val="20"/>
        </w:rPr>
        <w:t>季之</w:t>
      </w:r>
      <w:r w:rsidRPr="00752839">
        <w:rPr>
          <w:rFonts w:eastAsia="標楷體" w:hint="eastAsia"/>
          <w:b/>
          <w:sz w:val="20"/>
          <w:szCs w:val="20"/>
        </w:rPr>
        <w:t>記錄</w:t>
      </w:r>
      <w:proofErr w:type="gramStart"/>
      <w:r w:rsidRPr="00752839">
        <w:rPr>
          <w:rFonts w:eastAsia="標楷體" w:hint="eastAsia"/>
          <w:b/>
          <w:sz w:val="20"/>
          <w:szCs w:val="20"/>
        </w:rPr>
        <w:t>表影本擲交環</w:t>
      </w:r>
      <w:proofErr w:type="gramEnd"/>
      <w:r w:rsidRPr="00752839">
        <w:rPr>
          <w:rFonts w:eastAsia="標楷體" w:hint="eastAsia"/>
          <w:b/>
          <w:sz w:val="20"/>
          <w:szCs w:val="20"/>
        </w:rPr>
        <w:t>安組</w:t>
      </w:r>
      <w:r>
        <w:rPr>
          <w:rFonts w:eastAsia="標楷體" w:hint="eastAsia"/>
          <w:sz w:val="20"/>
          <w:szCs w:val="20"/>
        </w:rPr>
        <w:t>，</w:t>
      </w:r>
      <w:proofErr w:type="gramStart"/>
      <w:r>
        <w:rPr>
          <w:rFonts w:eastAsia="標楷體" w:hint="eastAsia"/>
          <w:sz w:val="20"/>
          <w:szCs w:val="20"/>
        </w:rPr>
        <w:t>俾</w:t>
      </w:r>
      <w:proofErr w:type="gramEnd"/>
      <w:r>
        <w:rPr>
          <w:rFonts w:eastAsia="標楷體" w:hint="eastAsia"/>
          <w:sz w:val="20"/>
          <w:szCs w:val="20"/>
        </w:rPr>
        <w:t>利申報作業。</w:t>
      </w:r>
    </w:p>
    <w:p w:rsidR="00CD3252" w:rsidRDefault="00752839" w:rsidP="000E71BD">
      <w:pPr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7</w:t>
      </w:r>
      <w:r w:rsidR="00700F6F" w:rsidRPr="00DC4734">
        <w:rPr>
          <w:rFonts w:eastAsia="標楷體" w:hint="eastAsia"/>
          <w:sz w:val="20"/>
          <w:szCs w:val="20"/>
        </w:rPr>
        <w:t>.</w:t>
      </w:r>
      <w:r w:rsidR="00700F6F" w:rsidRPr="00DC4734">
        <w:rPr>
          <w:rFonts w:eastAsia="標楷體" w:hint="eastAsia"/>
          <w:sz w:val="20"/>
          <w:szCs w:val="20"/>
        </w:rPr>
        <w:t>本運作記錄表及相關購買憑證影本請</w:t>
      </w:r>
      <w:r w:rsidR="00951BB2" w:rsidRPr="00DC4734">
        <w:rPr>
          <w:rFonts w:eastAsia="標楷體" w:hint="eastAsia"/>
          <w:sz w:val="20"/>
          <w:szCs w:val="20"/>
        </w:rPr>
        <w:t>留存</w:t>
      </w:r>
      <w:r w:rsidR="00951BB2" w:rsidRPr="00DC4734">
        <w:rPr>
          <w:rFonts w:eastAsia="標楷體" w:hint="eastAsia"/>
          <w:sz w:val="20"/>
          <w:szCs w:val="20"/>
        </w:rPr>
        <w:t>3</w:t>
      </w:r>
      <w:r w:rsidR="00951BB2" w:rsidRPr="00DC4734">
        <w:rPr>
          <w:rFonts w:eastAsia="標楷體" w:hint="eastAsia"/>
          <w:sz w:val="20"/>
          <w:szCs w:val="20"/>
        </w:rPr>
        <w:t>年，以供備查。</w:t>
      </w:r>
    </w:p>
    <w:p w:rsidR="007E4722" w:rsidRDefault="007E4722" w:rsidP="007E4722">
      <w:pPr>
        <w:spacing w:line="0" w:lineRule="atLeas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慈濟學校財團法人</w:t>
      </w:r>
      <w:r w:rsidRPr="00611FD0">
        <w:rPr>
          <w:rFonts w:eastAsia="標楷體" w:hAnsi="標楷體"/>
          <w:b/>
          <w:sz w:val="32"/>
          <w:szCs w:val="32"/>
        </w:rPr>
        <w:t>慈濟</w:t>
      </w:r>
      <w:r w:rsidR="00380941">
        <w:rPr>
          <w:rFonts w:eastAsia="標楷體" w:hAnsi="標楷體" w:hint="eastAsia"/>
          <w:b/>
          <w:sz w:val="32"/>
          <w:szCs w:val="32"/>
        </w:rPr>
        <w:t>科技大學</w:t>
      </w:r>
    </w:p>
    <w:p w:rsidR="00CD3252" w:rsidRPr="00611FD0" w:rsidRDefault="00CD3252" w:rsidP="007E4722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11FD0">
        <w:rPr>
          <w:rFonts w:eastAsia="標楷體" w:hAnsi="標楷體"/>
          <w:b/>
          <w:sz w:val="32"/>
          <w:szCs w:val="32"/>
        </w:rPr>
        <w:t>先驅化學品工業原料運作記錄表</w:t>
      </w:r>
    </w:p>
    <w:p w:rsidR="00CD3252" w:rsidRPr="00975A5E" w:rsidRDefault="00752839" w:rsidP="00CD3252">
      <w:pPr>
        <w:rPr>
          <w:rFonts w:eastAsia="標楷體"/>
          <w:sz w:val="28"/>
          <w:szCs w:val="28"/>
        </w:rPr>
      </w:pPr>
      <w:r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="00CD3252"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>乙類</w:t>
      </w:r>
      <w:r w:rsidRPr="00752839">
        <w:rPr>
          <w:rFonts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="00CD3252">
        <w:rPr>
          <w:rFonts w:eastAsia="標楷體" w:hAnsi="標楷體"/>
          <w:sz w:val="28"/>
          <w:szCs w:val="28"/>
        </w:rPr>
        <w:t xml:space="preserve">先驅化學品工業原料名稱：　　　　　　　　　　　</w:t>
      </w:r>
      <w:r w:rsidR="00CD3252" w:rsidRPr="00975A5E">
        <w:rPr>
          <w:rFonts w:eastAsia="標楷體" w:hAnsi="標楷體"/>
          <w:sz w:val="28"/>
          <w:szCs w:val="28"/>
        </w:rPr>
        <w:t>單位名稱：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00"/>
        <w:gridCol w:w="1200"/>
        <w:gridCol w:w="1200"/>
        <w:gridCol w:w="1375"/>
        <w:gridCol w:w="1375"/>
        <w:gridCol w:w="1436"/>
        <w:gridCol w:w="1274"/>
      </w:tblGrid>
      <w:tr w:rsidR="00CD3252" w:rsidRPr="008B6078" w:rsidTr="008B6078">
        <w:trPr>
          <w:trHeight w:val="624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8B6078">
              <w:rPr>
                <w:rFonts w:eastAsia="標楷體" w:hint="eastAsia"/>
                <w:sz w:val="28"/>
                <w:szCs w:val="28"/>
              </w:rPr>
              <w:t>購入量</w:t>
            </w:r>
            <w:proofErr w:type="gramEnd"/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使用量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貯存量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使用人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管理人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用途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252" w:rsidRPr="008B6078" w:rsidRDefault="00CD3252" w:rsidP="008B6078">
            <w:pPr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8B607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CD3252" w:rsidRPr="008B6078" w:rsidTr="008B6078">
        <w:trPr>
          <w:trHeight w:val="624"/>
        </w:trPr>
        <w:tc>
          <w:tcPr>
            <w:tcW w:w="1290" w:type="dxa"/>
            <w:tcBorders>
              <w:left w:val="single" w:sz="12" w:space="0" w:color="auto"/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:rsidR="00CD3252" w:rsidRPr="008B6078" w:rsidRDefault="00CD3252" w:rsidP="00CD3252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CD3252" w:rsidRDefault="00CD3252" w:rsidP="00CD3252">
      <w:pPr>
        <w:rPr>
          <w:rFonts w:eastAsia="標楷體" w:hint="eastAsia"/>
        </w:rPr>
      </w:pPr>
    </w:p>
    <w:p w:rsidR="00CD3252" w:rsidRPr="00DC4734" w:rsidRDefault="00CD3252" w:rsidP="00CD3252">
      <w:pPr>
        <w:rPr>
          <w:rFonts w:eastAsia="標楷體" w:hint="eastAsia"/>
          <w:sz w:val="20"/>
          <w:szCs w:val="20"/>
        </w:rPr>
      </w:pPr>
      <w:proofErr w:type="gramStart"/>
      <w:r w:rsidRPr="00DC4734">
        <w:rPr>
          <w:rFonts w:eastAsia="標楷體" w:hint="eastAsia"/>
          <w:sz w:val="20"/>
          <w:szCs w:val="20"/>
        </w:rPr>
        <w:t>註</w:t>
      </w:r>
      <w:proofErr w:type="gramEnd"/>
      <w:r w:rsidRPr="00DC4734">
        <w:rPr>
          <w:rFonts w:eastAsia="標楷體" w:hint="eastAsia"/>
          <w:sz w:val="20"/>
          <w:szCs w:val="20"/>
        </w:rPr>
        <w:t>：</w:t>
      </w:r>
    </w:p>
    <w:p w:rsidR="00CD3252" w:rsidRPr="00DC4734" w:rsidRDefault="00CD3252" w:rsidP="00CD3252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1.</w:t>
      </w:r>
      <w:r w:rsidRPr="00DC4734">
        <w:rPr>
          <w:rFonts w:eastAsia="標楷體" w:hint="eastAsia"/>
          <w:sz w:val="20"/>
          <w:szCs w:val="20"/>
        </w:rPr>
        <w:t>本記錄表</w:t>
      </w:r>
      <w:proofErr w:type="gramStart"/>
      <w:r w:rsidRPr="00DC4734">
        <w:rPr>
          <w:rFonts w:eastAsia="標楷體" w:hint="eastAsia"/>
          <w:sz w:val="20"/>
          <w:szCs w:val="20"/>
        </w:rPr>
        <w:t>採一</w:t>
      </w:r>
      <w:proofErr w:type="gramEnd"/>
      <w:r w:rsidRPr="00DC4734">
        <w:rPr>
          <w:rFonts w:eastAsia="標楷體" w:hint="eastAsia"/>
          <w:sz w:val="20"/>
          <w:szCs w:val="20"/>
        </w:rPr>
        <w:t>物</w:t>
      </w:r>
      <w:proofErr w:type="gramStart"/>
      <w:r w:rsidRPr="00DC4734">
        <w:rPr>
          <w:rFonts w:eastAsia="標楷體" w:hint="eastAsia"/>
          <w:sz w:val="20"/>
          <w:szCs w:val="20"/>
        </w:rPr>
        <w:t>一</w:t>
      </w:r>
      <w:proofErr w:type="gramEnd"/>
      <w:r w:rsidRPr="00DC4734">
        <w:rPr>
          <w:rFonts w:eastAsia="標楷體" w:hint="eastAsia"/>
          <w:sz w:val="20"/>
          <w:szCs w:val="20"/>
        </w:rPr>
        <w:t>單，每項列管先驅化學品工業原料請分單記錄。</w:t>
      </w:r>
    </w:p>
    <w:p w:rsidR="00CD3252" w:rsidRPr="00DC4734" w:rsidRDefault="00CD3252" w:rsidP="00CD3252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2.</w:t>
      </w:r>
      <w:r w:rsidRPr="00DC4734">
        <w:rPr>
          <w:rFonts w:eastAsia="標楷體" w:hint="eastAsia"/>
          <w:sz w:val="20"/>
          <w:szCs w:val="20"/>
        </w:rPr>
        <w:t>每次使用皆須填寫使用量、貯存量及用途，並請使用人簽名。</w:t>
      </w:r>
    </w:p>
    <w:p w:rsidR="00CD3252" w:rsidRPr="00DC4734" w:rsidRDefault="00CD3252" w:rsidP="00CD3252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3.</w:t>
      </w:r>
      <w:r w:rsidRPr="00DC4734">
        <w:rPr>
          <w:rFonts w:eastAsia="標楷體" w:hint="eastAsia"/>
          <w:sz w:val="20"/>
          <w:szCs w:val="20"/>
        </w:rPr>
        <w:t>當有購入時，請在備註欄填寫購入廠商名稱及統編，並影印相關憑證資料留存。</w:t>
      </w:r>
    </w:p>
    <w:p w:rsidR="00CD3252" w:rsidRPr="00DC4734" w:rsidRDefault="00CD3252" w:rsidP="00CD3252">
      <w:pPr>
        <w:jc w:val="both"/>
        <w:rPr>
          <w:rFonts w:eastAsia="標楷體" w:hint="eastAsia"/>
          <w:sz w:val="20"/>
          <w:szCs w:val="20"/>
        </w:rPr>
      </w:pPr>
      <w:r w:rsidRPr="00DC4734">
        <w:rPr>
          <w:rFonts w:eastAsia="標楷體" w:hint="eastAsia"/>
          <w:sz w:val="20"/>
          <w:szCs w:val="20"/>
        </w:rPr>
        <w:t>4.</w:t>
      </w:r>
      <w:r w:rsidRPr="00DC4734">
        <w:rPr>
          <w:rFonts w:eastAsia="標楷體" w:hint="eastAsia"/>
          <w:sz w:val="20"/>
          <w:szCs w:val="20"/>
        </w:rPr>
        <w:t>管理人須定期（</w:t>
      </w:r>
      <w:r w:rsidRPr="00DC4734">
        <w:rPr>
          <w:rFonts w:eastAsia="標楷體" w:hint="eastAsia"/>
          <w:sz w:val="20"/>
          <w:szCs w:val="20"/>
        </w:rPr>
        <w:t>1~3</w:t>
      </w:r>
      <w:r w:rsidRPr="00DC4734">
        <w:rPr>
          <w:rFonts w:eastAsia="標楷體" w:hint="eastAsia"/>
          <w:sz w:val="20"/>
          <w:szCs w:val="20"/>
        </w:rPr>
        <w:t>個月）確實查核貯存量是否有誤。</w:t>
      </w:r>
    </w:p>
    <w:p w:rsidR="00CD3252" w:rsidRPr="00DC4734" w:rsidRDefault="00752839" w:rsidP="00CD3252">
      <w:pPr>
        <w:jc w:val="both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5</w:t>
      </w:r>
      <w:r w:rsidR="00CD3252" w:rsidRPr="00DC4734">
        <w:rPr>
          <w:rFonts w:eastAsia="標楷體" w:hint="eastAsia"/>
          <w:sz w:val="20"/>
          <w:szCs w:val="20"/>
        </w:rPr>
        <w:t>.</w:t>
      </w:r>
      <w:r w:rsidR="00CD3252" w:rsidRPr="00DC4734">
        <w:rPr>
          <w:rFonts w:eastAsia="標楷體" w:hint="eastAsia"/>
          <w:sz w:val="20"/>
          <w:szCs w:val="20"/>
        </w:rPr>
        <w:t>本運作記錄表及相關購買憑證影本請留存</w:t>
      </w:r>
      <w:r w:rsidR="00CD3252" w:rsidRPr="00DC4734">
        <w:rPr>
          <w:rFonts w:eastAsia="標楷體" w:hint="eastAsia"/>
          <w:sz w:val="20"/>
          <w:szCs w:val="20"/>
        </w:rPr>
        <w:t>3</w:t>
      </w:r>
      <w:r w:rsidR="00CD3252" w:rsidRPr="00DC4734">
        <w:rPr>
          <w:rFonts w:eastAsia="標楷體" w:hint="eastAsia"/>
          <w:sz w:val="20"/>
          <w:szCs w:val="20"/>
        </w:rPr>
        <w:t>年，以供備查。</w:t>
      </w:r>
    </w:p>
    <w:p w:rsidR="00CD3252" w:rsidRPr="00CD3252" w:rsidRDefault="00CD3252" w:rsidP="000E71BD">
      <w:pPr>
        <w:jc w:val="both"/>
        <w:rPr>
          <w:rFonts w:eastAsia="標楷體" w:hint="eastAsia"/>
          <w:sz w:val="20"/>
          <w:szCs w:val="20"/>
        </w:rPr>
      </w:pPr>
    </w:p>
    <w:sectPr w:rsidR="00CD3252" w:rsidRPr="00CD3252" w:rsidSect="007E4722">
      <w:pgSz w:w="11906" w:h="16838"/>
      <w:pgMar w:top="54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5E"/>
    <w:rsid w:val="00070C98"/>
    <w:rsid w:val="000E71BD"/>
    <w:rsid w:val="001F4876"/>
    <w:rsid w:val="00380941"/>
    <w:rsid w:val="00382A21"/>
    <w:rsid w:val="005B59A1"/>
    <w:rsid w:val="00611FD0"/>
    <w:rsid w:val="006B437D"/>
    <w:rsid w:val="00700F6F"/>
    <w:rsid w:val="00752839"/>
    <w:rsid w:val="007910C8"/>
    <w:rsid w:val="007E4722"/>
    <w:rsid w:val="008B6078"/>
    <w:rsid w:val="00951BB2"/>
    <w:rsid w:val="00975A5E"/>
    <w:rsid w:val="00A118B4"/>
    <w:rsid w:val="00CB3EAA"/>
    <w:rsid w:val="00CD3252"/>
    <w:rsid w:val="00D20FD8"/>
    <w:rsid w:val="00DA55EA"/>
    <w:rsid w:val="00DC4734"/>
    <w:rsid w:val="00FD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AE4A0-6AA0-4FFE-B44A-468D31AA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A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>tccn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慈濟技術學院先驅化學品工業原料運作記錄表</dc:title>
  <dc:subject/>
  <dc:creator>鄭詠澤</dc:creator>
  <cp:keywords/>
  <dc:description/>
  <cp:lastModifiedBy>user</cp:lastModifiedBy>
  <cp:revision>2</cp:revision>
  <cp:lastPrinted>2008-07-18T07:55:00Z</cp:lastPrinted>
  <dcterms:created xsi:type="dcterms:W3CDTF">2020-12-17T08:19:00Z</dcterms:created>
  <dcterms:modified xsi:type="dcterms:W3CDTF">2020-12-17T08:19:00Z</dcterms:modified>
</cp:coreProperties>
</file>